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007" w:rsidRPr="00BC1007" w:rsidRDefault="00BC1007" w:rsidP="00BC1007">
      <w:pPr>
        <w:spacing w:before="100" w:beforeAutospacing="1" w:after="100" w:afterAutospacing="1" w:line="240" w:lineRule="auto"/>
        <w:outlineLvl w:val="2"/>
        <w:rPr>
          <w:rFonts w:ascii="Arial" w:eastAsia="Times New Roman" w:hAnsi="Arial" w:cs="Arial"/>
          <w:b/>
          <w:bCs/>
          <w:sz w:val="24"/>
          <w:szCs w:val="24"/>
          <w:lang w:eastAsia="de-DE"/>
        </w:rPr>
      </w:pPr>
      <w:r w:rsidRPr="00BC1007">
        <w:rPr>
          <w:rFonts w:ascii="Arial" w:eastAsia="Times New Roman" w:hAnsi="Arial" w:cs="Arial"/>
          <w:b/>
          <w:bCs/>
          <w:sz w:val="24"/>
          <w:szCs w:val="24"/>
          <w:lang w:eastAsia="de-DE"/>
        </w:rPr>
        <w:t>Titularlehrer</w:t>
      </w:r>
    </w:p>
    <w:p w:rsidR="00BC1007" w:rsidRPr="00BC1007" w:rsidRDefault="00BC1007" w:rsidP="00BC1007">
      <w:pPr>
        <w:spacing w:before="100" w:beforeAutospacing="1" w:after="100" w:afterAutospacing="1" w:line="240" w:lineRule="auto"/>
        <w:rPr>
          <w:rFonts w:ascii="Arial" w:eastAsia="Times New Roman" w:hAnsi="Arial" w:cs="Arial"/>
          <w:sz w:val="24"/>
          <w:szCs w:val="24"/>
          <w:lang w:eastAsia="de-DE"/>
        </w:rPr>
      </w:pPr>
      <w:r w:rsidRPr="00BC1007">
        <w:rPr>
          <w:rFonts w:ascii="Arial" w:eastAsia="Times New Roman" w:hAnsi="Arial" w:cs="Arial"/>
          <w:sz w:val="24"/>
          <w:szCs w:val="24"/>
          <w:lang w:eastAsia="de-DE"/>
        </w:rPr>
        <w:t xml:space="preserve">Neben der umgangssprachlichen allgemeinen Verwendung des Lehrer-Begriffs und der speziellen Berufsbezeichnung hat sich noch ein dritter Bedeutungsinhalt etabliert, der einer Verwendung des Begriffs als Ehrenbezeigung für besonders verdiente „Lehrer der Menschheit“. Diese Bedeutungszuweisung erfolgt vor allem als hohe Auszeichnung auf der sittlichen und religiösen Ebene. Kommt der Bezeichnung „Hochschullehrer“ bereits ein gewisser Doppelsinn als Berufsbezeichnung und als Titularbezeichnung zu (Verleihung der </w:t>
      </w:r>
      <w:hyperlink r:id="rId4" w:tooltip="Venia Legendi" w:history="1">
        <w:r w:rsidRPr="00BC1007">
          <w:rPr>
            <w:rFonts w:ascii="Arial" w:eastAsia="Times New Roman" w:hAnsi="Arial" w:cs="Arial"/>
            <w:sz w:val="24"/>
            <w:szCs w:val="24"/>
            <w:lang w:eastAsia="de-DE"/>
          </w:rPr>
          <w:t xml:space="preserve">Venia </w:t>
        </w:r>
        <w:proofErr w:type="spellStart"/>
        <w:r w:rsidRPr="00BC1007">
          <w:rPr>
            <w:rFonts w:ascii="Arial" w:eastAsia="Times New Roman" w:hAnsi="Arial" w:cs="Arial"/>
            <w:sz w:val="24"/>
            <w:szCs w:val="24"/>
            <w:lang w:eastAsia="de-DE"/>
          </w:rPr>
          <w:t>Legendi</w:t>
        </w:r>
        <w:proofErr w:type="spellEnd"/>
      </w:hyperlink>
      <w:r w:rsidRPr="00BC1007">
        <w:rPr>
          <w:rFonts w:ascii="Arial" w:eastAsia="Times New Roman" w:hAnsi="Arial" w:cs="Arial"/>
          <w:sz w:val="24"/>
          <w:szCs w:val="24"/>
          <w:lang w:eastAsia="de-DE"/>
        </w:rPr>
        <w:t xml:space="preserve"> und </w:t>
      </w:r>
      <w:hyperlink r:id="rId5" w:tooltip="Berufung (Amt)" w:history="1">
        <w:r w:rsidRPr="00BC1007">
          <w:rPr>
            <w:rFonts w:ascii="Arial" w:eastAsia="Times New Roman" w:hAnsi="Arial" w:cs="Arial"/>
            <w:sz w:val="24"/>
            <w:szCs w:val="24"/>
            <w:lang w:eastAsia="de-DE"/>
          </w:rPr>
          <w:t>Berufung</w:t>
        </w:r>
      </w:hyperlink>
      <w:r w:rsidRPr="00BC1007">
        <w:rPr>
          <w:rFonts w:ascii="Arial" w:eastAsia="Times New Roman" w:hAnsi="Arial" w:cs="Arial"/>
          <w:sz w:val="24"/>
          <w:szCs w:val="24"/>
          <w:lang w:eastAsia="de-DE"/>
        </w:rPr>
        <w:t xml:space="preserve"> in Forschung und Lehre einer </w:t>
      </w:r>
      <w:hyperlink r:id="rId6" w:tooltip="Wissenschaftliche Hochschule" w:history="1">
        <w:r w:rsidRPr="00BC1007">
          <w:rPr>
            <w:rFonts w:ascii="Arial" w:eastAsia="Times New Roman" w:hAnsi="Arial" w:cs="Arial"/>
            <w:sz w:val="24"/>
            <w:szCs w:val="24"/>
            <w:lang w:eastAsia="de-DE"/>
          </w:rPr>
          <w:t>Wissenschaftlichen Hochschule</w:t>
        </w:r>
      </w:hyperlink>
      <w:r w:rsidRPr="00BC1007">
        <w:rPr>
          <w:rFonts w:ascii="Arial" w:eastAsia="Times New Roman" w:hAnsi="Arial" w:cs="Arial"/>
          <w:sz w:val="24"/>
          <w:szCs w:val="24"/>
          <w:lang w:eastAsia="de-DE"/>
        </w:rPr>
        <w:t>), so trifft dies in besonderem Maße auf zwei Arten von Lehrern zu, die aufgrund ihrer Lebensführung und Lebensleistung als „</w:t>
      </w:r>
      <w:hyperlink r:id="rId7" w:tooltip="Weisheit" w:history="1">
        <w:r w:rsidRPr="00BC1007">
          <w:rPr>
            <w:rFonts w:ascii="Arial" w:eastAsia="Times New Roman" w:hAnsi="Arial" w:cs="Arial"/>
            <w:sz w:val="24"/>
            <w:szCs w:val="24"/>
            <w:lang w:eastAsia="de-DE"/>
          </w:rPr>
          <w:t>Weisheitslehrer</w:t>
        </w:r>
      </w:hyperlink>
      <w:r w:rsidRPr="00BC1007">
        <w:rPr>
          <w:rFonts w:ascii="Arial" w:eastAsia="Times New Roman" w:hAnsi="Arial" w:cs="Arial"/>
          <w:sz w:val="24"/>
          <w:szCs w:val="24"/>
          <w:lang w:eastAsia="de-DE"/>
        </w:rPr>
        <w:t>“ (auch „</w:t>
      </w:r>
      <w:hyperlink r:id="rId8" w:tooltip="Philosoph" w:history="1">
        <w:r w:rsidRPr="00BC1007">
          <w:rPr>
            <w:rFonts w:ascii="Arial" w:eastAsia="Times New Roman" w:hAnsi="Arial" w:cs="Arial"/>
            <w:sz w:val="24"/>
            <w:szCs w:val="24"/>
            <w:lang w:eastAsia="de-DE"/>
          </w:rPr>
          <w:t>Philosophen</w:t>
        </w:r>
      </w:hyperlink>
      <w:r w:rsidRPr="00BC1007">
        <w:rPr>
          <w:rFonts w:ascii="Arial" w:eastAsia="Times New Roman" w:hAnsi="Arial" w:cs="Arial"/>
          <w:sz w:val="24"/>
          <w:szCs w:val="24"/>
          <w:lang w:eastAsia="de-DE"/>
        </w:rPr>
        <w:t>“) und als „</w:t>
      </w:r>
      <w:hyperlink r:id="rId9" w:tooltip="Kirchenlehrer" w:history="1">
        <w:r w:rsidRPr="00BC1007">
          <w:rPr>
            <w:rFonts w:ascii="Arial" w:eastAsia="Times New Roman" w:hAnsi="Arial" w:cs="Arial"/>
            <w:sz w:val="24"/>
            <w:szCs w:val="24"/>
            <w:lang w:eastAsia="de-DE"/>
          </w:rPr>
          <w:t>Kirchenlehrer</w:t>
        </w:r>
      </w:hyperlink>
      <w:r w:rsidRPr="00BC1007">
        <w:rPr>
          <w:rFonts w:ascii="Arial" w:eastAsia="Times New Roman" w:hAnsi="Arial" w:cs="Arial"/>
          <w:sz w:val="24"/>
          <w:szCs w:val="24"/>
          <w:lang w:eastAsia="de-DE"/>
        </w:rPr>
        <w:t>“ (auch „</w:t>
      </w:r>
      <w:hyperlink r:id="rId10" w:tooltip="Kirchenväter" w:history="1">
        <w:r w:rsidRPr="00BC1007">
          <w:rPr>
            <w:rFonts w:ascii="Arial" w:eastAsia="Times New Roman" w:hAnsi="Arial" w:cs="Arial"/>
            <w:sz w:val="24"/>
            <w:szCs w:val="24"/>
            <w:lang w:eastAsia="de-DE"/>
          </w:rPr>
          <w:t>Kirchenväter</w:t>
        </w:r>
      </w:hyperlink>
      <w:r w:rsidRPr="00BC1007">
        <w:rPr>
          <w:rFonts w:ascii="Arial" w:eastAsia="Times New Roman" w:hAnsi="Arial" w:cs="Arial"/>
          <w:sz w:val="24"/>
          <w:szCs w:val="24"/>
          <w:lang w:eastAsia="de-DE"/>
        </w:rPr>
        <w:t>“) bezeichnet werden.</w:t>
      </w:r>
    </w:p>
    <w:p w:rsidR="00BC1007" w:rsidRPr="00BC1007" w:rsidRDefault="00BC1007" w:rsidP="00BC1007">
      <w:pPr>
        <w:spacing w:before="100" w:beforeAutospacing="1" w:after="100" w:afterAutospacing="1" w:line="240" w:lineRule="auto"/>
        <w:outlineLvl w:val="3"/>
        <w:rPr>
          <w:rFonts w:ascii="Arial" w:eastAsia="Times New Roman" w:hAnsi="Arial" w:cs="Arial"/>
          <w:b/>
          <w:bCs/>
          <w:sz w:val="24"/>
          <w:szCs w:val="24"/>
          <w:lang w:eastAsia="de-DE"/>
        </w:rPr>
      </w:pPr>
      <w:r w:rsidRPr="00BC1007">
        <w:rPr>
          <w:rFonts w:ascii="Arial" w:eastAsia="Times New Roman" w:hAnsi="Arial" w:cs="Arial"/>
          <w:b/>
          <w:bCs/>
          <w:sz w:val="24"/>
          <w:szCs w:val="24"/>
          <w:lang w:eastAsia="de-DE"/>
        </w:rPr>
        <w:t>Weisheitslehrer</w:t>
      </w:r>
    </w:p>
    <w:p w:rsidR="00BC1007" w:rsidRPr="00BC1007" w:rsidRDefault="00BC1007" w:rsidP="00BC1007">
      <w:pPr>
        <w:spacing w:after="0" w:line="240" w:lineRule="auto"/>
        <w:rPr>
          <w:rFonts w:ascii="Arial" w:eastAsia="Times New Roman" w:hAnsi="Arial" w:cs="Arial"/>
          <w:sz w:val="24"/>
          <w:szCs w:val="24"/>
          <w:lang w:eastAsia="de-DE"/>
        </w:rPr>
      </w:pPr>
    </w:p>
    <w:p w:rsidR="00BC1007" w:rsidRPr="00BC1007" w:rsidRDefault="00BC1007" w:rsidP="00BC1007">
      <w:pPr>
        <w:spacing w:after="0" w:line="240" w:lineRule="auto"/>
        <w:rPr>
          <w:rFonts w:ascii="Arial" w:eastAsia="Times New Roman" w:hAnsi="Arial" w:cs="Arial"/>
          <w:sz w:val="24"/>
          <w:szCs w:val="24"/>
          <w:lang w:eastAsia="de-DE"/>
        </w:rPr>
      </w:pPr>
      <w:r w:rsidRPr="00BC1007">
        <w:rPr>
          <w:rFonts w:ascii="Arial" w:eastAsia="Times New Roman" w:hAnsi="Arial" w:cs="Arial"/>
          <w:sz w:val="24"/>
          <w:szCs w:val="24"/>
          <w:lang w:eastAsia="de-DE"/>
        </w:rPr>
        <w:t xml:space="preserve">Weisheitslehrer mit Schüler Quelle: Illustration aus dem 17. Jahrhundert zu Comenius: </w:t>
      </w:r>
      <w:hyperlink r:id="rId11" w:tooltip="Orbis sensualium pictus" w:history="1">
        <w:r w:rsidRPr="00BC1007">
          <w:rPr>
            <w:rFonts w:ascii="Arial" w:eastAsia="Times New Roman" w:hAnsi="Arial" w:cs="Arial"/>
            <w:sz w:val="24"/>
            <w:szCs w:val="24"/>
            <w:lang w:eastAsia="de-DE"/>
          </w:rPr>
          <w:t xml:space="preserve">Orbis </w:t>
        </w:r>
        <w:proofErr w:type="spellStart"/>
        <w:r w:rsidRPr="00BC1007">
          <w:rPr>
            <w:rFonts w:ascii="Arial" w:eastAsia="Times New Roman" w:hAnsi="Arial" w:cs="Arial"/>
            <w:sz w:val="24"/>
            <w:szCs w:val="24"/>
            <w:lang w:eastAsia="de-DE"/>
          </w:rPr>
          <w:t>sensualium</w:t>
        </w:r>
        <w:proofErr w:type="spellEnd"/>
        <w:r w:rsidRPr="00BC1007">
          <w:rPr>
            <w:rFonts w:ascii="Arial" w:eastAsia="Times New Roman" w:hAnsi="Arial" w:cs="Arial"/>
            <w:sz w:val="24"/>
            <w:szCs w:val="24"/>
            <w:lang w:eastAsia="de-DE"/>
          </w:rPr>
          <w:t xml:space="preserve"> </w:t>
        </w:r>
        <w:proofErr w:type="spellStart"/>
        <w:r w:rsidRPr="00BC1007">
          <w:rPr>
            <w:rFonts w:ascii="Arial" w:eastAsia="Times New Roman" w:hAnsi="Arial" w:cs="Arial"/>
            <w:sz w:val="24"/>
            <w:szCs w:val="24"/>
            <w:lang w:eastAsia="de-DE"/>
          </w:rPr>
          <w:t>pictus</w:t>
        </w:r>
        <w:proofErr w:type="spellEnd"/>
      </w:hyperlink>
    </w:p>
    <w:p w:rsidR="00BC1007" w:rsidRPr="00BC1007" w:rsidRDefault="00BC1007" w:rsidP="00BC1007">
      <w:pPr>
        <w:spacing w:before="100" w:beforeAutospacing="1" w:after="100" w:afterAutospacing="1" w:line="240" w:lineRule="auto"/>
        <w:rPr>
          <w:rFonts w:ascii="Arial" w:eastAsia="Times New Roman" w:hAnsi="Arial" w:cs="Arial"/>
          <w:sz w:val="24"/>
          <w:szCs w:val="24"/>
          <w:lang w:eastAsia="de-DE"/>
        </w:rPr>
      </w:pPr>
      <w:r w:rsidRPr="00BC1007">
        <w:rPr>
          <w:rFonts w:ascii="Arial" w:eastAsia="Times New Roman" w:hAnsi="Arial" w:cs="Arial"/>
          <w:sz w:val="24"/>
          <w:szCs w:val="24"/>
          <w:lang w:eastAsia="de-DE"/>
        </w:rPr>
        <w:t xml:space="preserve">Als früheste Verbreiter von </w:t>
      </w:r>
      <w:hyperlink r:id="rId12" w:tooltip="Weisheit" w:history="1">
        <w:r w:rsidRPr="00BC1007">
          <w:rPr>
            <w:rFonts w:ascii="Arial" w:eastAsia="Times New Roman" w:hAnsi="Arial" w:cs="Arial"/>
            <w:sz w:val="24"/>
            <w:szCs w:val="24"/>
            <w:lang w:eastAsia="de-DE"/>
          </w:rPr>
          <w:t>Weisheitslehren</w:t>
        </w:r>
      </w:hyperlink>
      <w:r w:rsidRPr="00BC1007">
        <w:rPr>
          <w:rFonts w:ascii="Arial" w:eastAsia="Times New Roman" w:hAnsi="Arial" w:cs="Arial"/>
          <w:sz w:val="24"/>
          <w:szCs w:val="24"/>
          <w:lang w:eastAsia="de-DE"/>
        </w:rPr>
        <w:t xml:space="preserve"> sind etwa der biblische </w:t>
      </w:r>
      <w:hyperlink r:id="rId13" w:tooltip="Salomo" w:history="1">
        <w:r w:rsidRPr="00BC1007">
          <w:rPr>
            <w:rFonts w:ascii="Arial" w:eastAsia="Times New Roman" w:hAnsi="Arial" w:cs="Arial"/>
            <w:sz w:val="24"/>
            <w:szCs w:val="24"/>
            <w:lang w:eastAsia="de-DE"/>
          </w:rPr>
          <w:t>König Salomo</w:t>
        </w:r>
      </w:hyperlink>
      <w:r w:rsidRPr="00BC1007">
        <w:rPr>
          <w:rFonts w:ascii="Arial" w:eastAsia="Times New Roman" w:hAnsi="Arial" w:cs="Arial"/>
          <w:sz w:val="24"/>
          <w:szCs w:val="24"/>
          <w:lang w:eastAsia="de-DE"/>
        </w:rPr>
        <w:t xml:space="preserve"> (10. </w:t>
      </w:r>
      <w:proofErr w:type="spellStart"/>
      <w:r w:rsidRPr="00BC1007">
        <w:rPr>
          <w:rFonts w:ascii="Arial" w:eastAsia="Times New Roman" w:hAnsi="Arial" w:cs="Arial"/>
          <w:sz w:val="24"/>
          <w:szCs w:val="24"/>
          <w:lang w:eastAsia="de-DE"/>
        </w:rPr>
        <w:t>Jahrh</w:t>
      </w:r>
      <w:proofErr w:type="spellEnd"/>
      <w:r w:rsidRPr="00BC1007">
        <w:rPr>
          <w:rFonts w:ascii="Arial" w:eastAsia="Times New Roman" w:hAnsi="Arial" w:cs="Arial"/>
          <w:sz w:val="24"/>
          <w:szCs w:val="24"/>
          <w:lang w:eastAsia="de-DE"/>
        </w:rPr>
        <w:t xml:space="preserve">. v. Chr.) oder der ägyptische Weise </w:t>
      </w:r>
      <w:hyperlink r:id="rId14" w:tooltip="Imhotep" w:history="1">
        <w:proofErr w:type="spellStart"/>
        <w:r w:rsidRPr="00BC1007">
          <w:rPr>
            <w:rFonts w:ascii="Arial" w:eastAsia="Times New Roman" w:hAnsi="Arial" w:cs="Arial"/>
            <w:sz w:val="24"/>
            <w:szCs w:val="24"/>
            <w:lang w:eastAsia="de-DE"/>
          </w:rPr>
          <w:t>Imhotep</w:t>
        </w:r>
        <w:proofErr w:type="spellEnd"/>
      </w:hyperlink>
      <w:r w:rsidRPr="00BC1007">
        <w:rPr>
          <w:rFonts w:ascii="Arial" w:eastAsia="Times New Roman" w:hAnsi="Arial" w:cs="Arial"/>
          <w:sz w:val="24"/>
          <w:szCs w:val="24"/>
          <w:lang w:eastAsia="de-DE"/>
        </w:rPr>
        <w:t xml:space="preserve"> (ca. 2600 v. Chr.) historisch belegt. Sie haben sich vor allem durch ihre ethisch anspruchsvollen Forderungen und Lebensregeln in das Gedächtnis der Menschheit eingeprägt.</w:t>
      </w:r>
      <w:hyperlink r:id="rId15" w:anchor="cite_note-4" w:history="1">
        <w:r w:rsidRPr="00BC1007">
          <w:rPr>
            <w:rFonts w:ascii="Arial" w:eastAsia="Times New Roman" w:hAnsi="Arial" w:cs="Arial"/>
            <w:sz w:val="24"/>
            <w:szCs w:val="24"/>
            <w:vertAlign w:val="superscript"/>
            <w:lang w:eastAsia="de-DE"/>
          </w:rPr>
          <w:t>[4]</w:t>
        </w:r>
      </w:hyperlink>
    </w:p>
    <w:p w:rsidR="00BC1007" w:rsidRPr="00BC1007" w:rsidRDefault="00BC1007" w:rsidP="00BC1007">
      <w:pPr>
        <w:spacing w:before="100" w:beforeAutospacing="1" w:after="100" w:afterAutospacing="1" w:line="240" w:lineRule="auto"/>
        <w:rPr>
          <w:rFonts w:ascii="Arial" w:eastAsia="Times New Roman" w:hAnsi="Arial" w:cs="Arial"/>
          <w:sz w:val="24"/>
          <w:szCs w:val="24"/>
          <w:lang w:eastAsia="de-DE"/>
        </w:rPr>
      </w:pPr>
      <w:r w:rsidRPr="00BC1007">
        <w:rPr>
          <w:rFonts w:ascii="Arial" w:eastAsia="Times New Roman" w:hAnsi="Arial" w:cs="Arial"/>
          <w:sz w:val="24"/>
          <w:szCs w:val="24"/>
          <w:lang w:eastAsia="de-DE"/>
        </w:rPr>
        <w:t xml:space="preserve">Seit dem vierten vorchristlichen Jahrhundert traten im antiken Griechenland der Menschenbildner </w:t>
      </w:r>
      <w:hyperlink r:id="rId16" w:tooltip="Sokrates" w:history="1">
        <w:r w:rsidRPr="00BC1007">
          <w:rPr>
            <w:rFonts w:ascii="Arial" w:eastAsia="Times New Roman" w:hAnsi="Arial" w:cs="Arial"/>
            <w:sz w:val="24"/>
            <w:szCs w:val="24"/>
            <w:lang w:eastAsia="de-DE"/>
          </w:rPr>
          <w:t>Sokrates</w:t>
        </w:r>
      </w:hyperlink>
      <w:r w:rsidRPr="00BC1007">
        <w:rPr>
          <w:rFonts w:ascii="Arial" w:eastAsia="Times New Roman" w:hAnsi="Arial" w:cs="Arial"/>
          <w:sz w:val="24"/>
          <w:szCs w:val="24"/>
          <w:lang w:eastAsia="de-DE"/>
        </w:rPr>
        <w:t xml:space="preserve"> und seine Schüler wie </w:t>
      </w:r>
      <w:hyperlink r:id="rId17" w:tooltip="Platon" w:history="1">
        <w:r w:rsidRPr="00BC1007">
          <w:rPr>
            <w:rFonts w:ascii="Arial" w:eastAsia="Times New Roman" w:hAnsi="Arial" w:cs="Arial"/>
            <w:sz w:val="24"/>
            <w:szCs w:val="24"/>
            <w:lang w:eastAsia="de-DE"/>
          </w:rPr>
          <w:t>Platon</w:t>
        </w:r>
      </w:hyperlink>
      <w:r w:rsidRPr="00BC1007">
        <w:rPr>
          <w:rFonts w:ascii="Arial" w:eastAsia="Times New Roman" w:hAnsi="Arial" w:cs="Arial"/>
          <w:sz w:val="24"/>
          <w:szCs w:val="24"/>
          <w:lang w:eastAsia="de-DE"/>
        </w:rPr>
        <w:t xml:space="preserve"> als „</w:t>
      </w:r>
      <w:hyperlink r:id="rId18" w:tooltip="Philosoph" w:history="1">
        <w:r w:rsidRPr="00BC1007">
          <w:rPr>
            <w:rFonts w:ascii="Arial" w:eastAsia="Times New Roman" w:hAnsi="Arial" w:cs="Arial"/>
            <w:sz w:val="24"/>
            <w:szCs w:val="24"/>
            <w:lang w:eastAsia="de-DE"/>
          </w:rPr>
          <w:t>Philosophen</w:t>
        </w:r>
      </w:hyperlink>
      <w:r w:rsidRPr="00BC1007">
        <w:rPr>
          <w:rFonts w:ascii="Arial" w:eastAsia="Times New Roman" w:hAnsi="Arial" w:cs="Arial"/>
          <w:sz w:val="24"/>
          <w:szCs w:val="24"/>
          <w:lang w:eastAsia="de-DE"/>
        </w:rPr>
        <w:t xml:space="preserve">“ (= Freunde der Weisheit und Weisheitslehrer) und kompromisslose Vertreter einer hoch stehenden Ethik hervor. Auch </w:t>
      </w:r>
      <w:hyperlink r:id="rId19" w:tooltip="Zarathustra" w:history="1">
        <w:r w:rsidRPr="00BC1007">
          <w:rPr>
            <w:rFonts w:ascii="Arial" w:eastAsia="Times New Roman" w:hAnsi="Arial" w:cs="Arial"/>
            <w:sz w:val="24"/>
            <w:szCs w:val="24"/>
            <w:lang w:eastAsia="de-DE"/>
          </w:rPr>
          <w:t>Zarathustra</w:t>
        </w:r>
      </w:hyperlink>
      <w:r w:rsidRPr="00BC1007">
        <w:rPr>
          <w:rFonts w:ascii="Arial" w:eastAsia="Times New Roman" w:hAnsi="Arial" w:cs="Arial"/>
          <w:sz w:val="24"/>
          <w:szCs w:val="24"/>
          <w:lang w:eastAsia="de-DE"/>
        </w:rPr>
        <w:t xml:space="preserve">, </w:t>
      </w:r>
      <w:hyperlink r:id="rId20" w:tooltip="Konfuzius" w:history="1">
        <w:r w:rsidRPr="00BC1007">
          <w:rPr>
            <w:rFonts w:ascii="Arial" w:eastAsia="Times New Roman" w:hAnsi="Arial" w:cs="Arial"/>
            <w:sz w:val="24"/>
            <w:szCs w:val="24"/>
            <w:lang w:eastAsia="de-DE"/>
          </w:rPr>
          <w:t>Konfuzius</w:t>
        </w:r>
      </w:hyperlink>
      <w:r w:rsidRPr="00BC1007">
        <w:rPr>
          <w:rFonts w:ascii="Arial" w:eastAsia="Times New Roman" w:hAnsi="Arial" w:cs="Arial"/>
          <w:sz w:val="24"/>
          <w:szCs w:val="24"/>
          <w:lang w:eastAsia="de-DE"/>
        </w:rPr>
        <w:t xml:space="preserve"> oder </w:t>
      </w:r>
      <w:hyperlink r:id="rId21" w:tooltip="Laotse" w:history="1">
        <w:proofErr w:type="spellStart"/>
        <w:r w:rsidRPr="00BC1007">
          <w:rPr>
            <w:rFonts w:ascii="Arial" w:eastAsia="Times New Roman" w:hAnsi="Arial" w:cs="Arial"/>
            <w:sz w:val="24"/>
            <w:szCs w:val="24"/>
            <w:lang w:eastAsia="de-DE"/>
          </w:rPr>
          <w:t>Laotse</w:t>
        </w:r>
        <w:proofErr w:type="spellEnd"/>
      </w:hyperlink>
      <w:r w:rsidRPr="00BC1007">
        <w:rPr>
          <w:rFonts w:ascii="Arial" w:eastAsia="Times New Roman" w:hAnsi="Arial" w:cs="Arial"/>
          <w:sz w:val="24"/>
          <w:szCs w:val="24"/>
          <w:lang w:eastAsia="de-DE"/>
        </w:rPr>
        <w:t xml:space="preserve"> gehören zu den historisch besonders herausragenden Schöpfern und Verbreitern bedeutsamer Sittenlehren und werden entsprechend zu den "Lehrern der Menschheit" gezählt.</w:t>
      </w:r>
      <w:hyperlink r:id="rId22" w:anchor="cite_note-5" w:history="1">
        <w:r w:rsidRPr="00BC1007">
          <w:rPr>
            <w:rFonts w:ascii="Arial" w:eastAsia="Times New Roman" w:hAnsi="Arial" w:cs="Arial"/>
            <w:sz w:val="24"/>
            <w:szCs w:val="24"/>
            <w:vertAlign w:val="superscript"/>
            <w:lang w:eastAsia="de-DE"/>
          </w:rPr>
          <w:t>[5]</w:t>
        </w:r>
      </w:hyperlink>
    </w:p>
    <w:p w:rsidR="00BC1007" w:rsidRPr="00BC1007" w:rsidRDefault="00BC1007" w:rsidP="00BC1007">
      <w:pPr>
        <w:spacing w:before="100" w:beforeAutospacing="1" w:after="100" w:afterAutospacing="1" w:line="240" w:lineRule="auto"/>
        <w:outlineLvl w:val="3"/>
        <w:rPr>
          <w:rFonts w:ascii="Arial" w:eastAsia="Times New Roman" w:hAnsi="Arial" w:cs="Arial"/>
          <w:b/>
          <w:bCs/>
          <w:sz w:val="24"/>
          <w:szCs w:val="24"/>
          <w:lang w:eastAsia="de-DE"/>
        </w:rPr>
      </w:pPr>
      <w:r w:rsidRPr="00BC1007">
        <w:rPr>
          <w:rFonts w:ascii="Arial" w:eastAsia="Times New Roman" w:hAnsi="Arial" w:cs="Arial"/>
          <w:b/>
          <w:bCs/>
          <w:sz w:val="24"/>
          <w:szCs w:val="24"/>
          <w:lang w:eastAsia="de-DE"/>
        </w:rPr>
        <w:t>Kirchenlehrer</w:t>
      </w:r>
    </w:p>
    <w:p w:rsidR="00BC1007" w:rsidRPr="00BC1007" w:rsidRDefault="00BC1007" w:rsidP="00BC1007">
      <w:pPr>
        <w:spacing w:before="100" w:beforeAutospacing="1" w:after="100" w:afterAutospacing="1" w:line="240" w:lineRule="auto"/>
        <w:rPr>
          <w:rFonts w:ascii="Arial" w:eastAsia="Times New Roman" w:hAnsi="Arial" w:cs="Arial"/>
          <w:sz w:val="24"/>
          <w:szCs w:val="24"/>
          <w:lang w:eastAsia="de-DE"/>
        </w:rPr>
      </w:pPr>
      <w:bookmarkStart w:id="0" w:name="_GoBack"/>
      <w:bookmarkEnd w:id="0"/>
      <w:r w:rsidRPr="00BC1007">
        <w:rPr>
          <w:rFonts w:ascii="Arial" w:eastAsia="Times New Roman" w:hAnsi="Arial" w:cs="Arial"/>
          <w:sz w:val="24"/>
          <w:szCs w:val="24"/>
          <w:lang w:eastAsia="de-DE"/>
        </w:rPr>
        <w:t>Der Begriff „</w:t>
      </w:r>
      <w:hyperlink r:id="rId23" w:tooltip="Kirchenlehrer" w:history="1">
        <w:r w:rsidRPr="00BC1007">
          <w:rPr>
            <w:rFonts w:ascii="Arial" w:eastAsia="Times New Roman" w:hAnsi="Arial" w:cs="Arial"/>
            <w:sz w:val="24"/>
            <w:szCs w:val="24"/>
            <w:lang w:eastAsia="de-DE"/>
          </w:rPr>
          <w:t>Kirchenlehrer</w:t>
        </w:r>
      </w:hyperlink>
      <w:r w:rsidRPr="00BC1007">
        <w:rPr>
          <w:rFonts w:ascii="Arial" w:eastAsia="Times New Roman" w:hAnsi="Arial" w:cs="Arial"/>
          <w:sz w:val="24"/>
          <w:szCs w:val="24"/>
          <w:lang w:eastAsia="de-DE"/>
        </w:rPr>
        <w:t>“ (</w:t>
      </w:r>
      <w:proofErr w:type="spellStart"/>
      <w:r w:rsidRPr="00BC1007">
        <w:rPr>
          <w:rFonts w:ascii="Arial" w:eastAsia="Times New Roman" w:hAnsi="Arial" w:cs="Arial"/>
          <w:sz w:val="24"/>
          <w:szCs w:val="24"/>
          <w:lang w:eastAsia="de-DE"/>
        </w:rPr>
        <w:t>doctor</w:t>
      </w:r>
      <w:proofErr w:type="spellEnd"/>
      <w:r w:rsidRPr="00BC1007">
        <w:rPr>
          <w:rFonts w:ascii="Arial" w:eastAsia="Times New Roman" w:hAnsi="Arial" w:cs="Arial"/>
          <w:sz w:val="24"/>
          <w:szCs w:val="24"/>
          <w:lang w:eastAsia="de-DE"/>
        </w:rPr>
        <w:t xml:space="preserve"> </w:t>
      </w:r>
      <w:proofErr w:type="spellStart"/>
      <w:r w:rsidRPr="00BC1007">
        <w:rPr>
          <w:rFonts w:ascii="Arial" w:eastAsia="Times New Roman" w:hAnsi="Arial" w:cs="Arial"/>
          <w:sz w:val="24"/>
          <w:szCs w:val="24"/>
          <w:lang w:eastAsia="de-DE"/>
        </w:rPr>
        <w:t>ecclesiae</w:t>
      </w:r>
      <w:proofErr w:type="spellEnd"/>
      <w:r w:rsidRPr="00BC1007">
        <w:rPr>
          <w:rFonts w:ascii="Arial" w:eastAsia="Times New Roman" w:hAnsi="Arial" w:cs="Arial"/>
          <w:sz w:val="24"/>
          <w:szCs w:val="24"/>
          <w:lang w:eastAsia="de-DE"/>
        </w:rPr>
        <w:t>) entwickelte sich im 5. Jahrhundert für eine Reihe herausragender christlicher Persönlichkeiten, deren Lebenswerk wegen der religiösen Tiefe ihrer Glaubenslehren von der Kirche als besonders vorbildhaft angesehen und die daher ausdrücklich als sogenannte „Kirchenlehrer“ oder „Große Kirchenlehrer“ kanonisiert wurden.</w:t>
      </w:r>
      <w:hyperlink r:id="rId24" w:anchor="cite_note-6" w:history="1">
        <w:r w:rsidRPr="00BC1007">
          <w:rPr>
            <w:rFonts w:ascii="Arial" w:eastAsia="Times New Roman" w:hAnsi="Arial" w:cs="Arial"/>
            <w:sz w:val="24"/>
            <w:szCs w:val="24"/>
            <w:vertAlign w:val="superscript"/>
            <w:lang w:eastAsia="de-DE"/>
          </w:rPr>
          <w:t>[6]</w:t>
        </w:r>
      </w:hyperlink>
      <w:r w:rsidRPr="00BC1007">
        <w:rPr>
          <w:rFonts w:ascii="Arial" w:eastAsia="Times New Roman" w:hAnsi="Arial" w:cs="Arial"/>
          <w:sz w:val="24"/>
          <w:szCs w:val="24"/>
          <w:lang w:eastAsia="de-DE"/>
        </w:rPr>
        <w:t xml:space="preserve"> Soweit sie dem christlichen Altertum zugehörten, wurden sie gleichzeitig auch als „</w:t>
      </w:r>
      <w:hyperlink r:id="rId25" w:tooltip="Kirchenväter" w:history="1">
        <w:r w:rsidRPr="00BC1007">
          <w:rPr>
            <w:rFonts w:ascii="Arial" w:eastAsia="Times New Roman" w:hAnsi="Arial" w:cs="Arial"/>
            <w:sz w:val="24"/>
            <w:szCs w:val="24"/>
            <w:lang w:eastAsia="de-DE"/>
          </w:rPr>
          <w:t>Kirchenväter</w:t>
        </w:r>
      </w:hyperlink>
      <w:r w:rsidRPr="00BC1007">
        <w:rPr>
          <w:rFonts w:ascii="Arial" w:eastAsia="Times New Roman" w:hAnsi="Arial" w:cs="Arial"/>
          <w:sz w:val="24"/>
          <w:szCs w:val="24"/>
          <w:lang w:eastAsia="de-DE"/>
        </w:rPr>
        <w:t xml:space="preserve">“ tituliert. Ihnen kommt bis heute in der Glaubenslehre der verschiedenen christlichen Kirchen eine hohe Autorität zu. Als bedeutendste Kirchenlehrer gelten etwa </w:t>
      </w:r>
      <w:hyperlink r:id="rId26" w:tooltip="Thomas von Aquin" w:history="1">
        <w:r w:rsidRPr="00BC1007">
          <w:rPr>
            <w:rFonts w:ascii="Arial" w:eastAsia="Times New Roman" w:hAnsi="Arial" w:cs="Arial"/>
            <w:sz w:val="24"/>
            <w:szCs w:val="24"/>
            <w:lang w:eastAsia="de-DE"/>
          </w:rPr>
          <w:t>Thomas von Aquin</w:t>
        </w:r>
      </w:hyperlink>
      <w:r w:rsidRPr="00BC1007">
        <w:rPr>
          <w:rFonts w:ascii="Arial" w:eastAsia="Times New Roman" w:hAnsi="Arial" w:cs="Arial"/>
          <w:sz w:val="24"/>
          <w:szCs w:val="24"/>
          <w:lang w:eastAsia="de-DE"/>
        </w:rPr>
        <w:t xml:space="preserve">, </w:t>
      </w:r>
      <w:hyperlink r:id="rId27" w:tooltip="Augustinus von Hippo" w:history="1">
        <w:r w:rsidRPr="00BC1007">
          <w:rPr>
            <w:rFonts w:ascii="Arial" w:eastAsia="Times New Roman" w:hAnsi="Arial" w:cs="Arial"/>
            <w:sz w:val="24"/>
            <w:szCs w:val="24"/>
            <w:lang w:eastAsia="de-DE"/>
          </w:rPr>
          <w:t xml:space="preserve">Augustinus von </w:t>
        </w:r>
        <w:proofErr w:type="spellStart"/>
        <w:r w:rsidRPr="00BC1007">
          <w:rPr>
            <w:rFonts w:ascii="Arial" w:eastAsia="Times New Roman" w:hAnsi="Arial" w:cs="Arial"/>
            <w:sz w:val="24"/>
            <w:szCs w:val="24"/>
            <w:lang w:eastAsia="de-DE"/>
          </w:rPr>
          <w:t>Hippo</w:t>
        </w:r>
        <w:proofErr w:type="spellEnd"/>
      </w:hyperlink>
      <w:r w:rsidRPr="00BC1007">
        <w:rPr>
          <w:rFonts w:ascii="Arial" w:eastAsia="Times New Roman" w:hAnsi="Arial" w:cs="Arial"/>
          <w:sz w:val="24"/>
          <w:szCs w:val="24"/>
          <w:lang w:eastAsia="de-DE"/>
        </w:rPr>
        <w:t xml:space="preserve">, </w:t>
      </w:r>
      <w:hyperlink r:id="rId28" w:tooltip="Ambrosius von Mailand" w:history="1">
        <w:r w:rsidRPr="00BC1007">
          <w:rPr>
            <w:rFonts w:ascii="Arial" w:eastAsia="Times New Roman" w:hAnsi="Arial" w:cs="Arial"/>
            <w:sz w:val="24"/>
            <w:szCs w:val="24"/>
            <w:lang w:eastAsia="de-DE"/>
          </w:rPr>
          <w:t>Ambrosius von Mailand</w:t>
        </w:r>
      </w:hyperlink>
      <w:r w:rsidRPr="00BC1007">
        <w:rPr>
          <w:rFonts w:ascii="Arial" w:eastAsia="Times New Roman" w:hAnsi="Arial" w:cs="Arial"/>
          <w:sz w:val="24"/>
          <w:szCs w:val="24"/>
          <w:lang w:eastAsia="de-DE"/>
        </w:rPr>
        <w:t xml:space="preserve">, </w:t>
      </w:r>
      <w:hyperlink r:id="rId29" w:tooltip="Basilius von Caesarea" w:history="1">
        <w:r w:rsidRPr="00BC1007">
          <w:rPr>
            <w:rFonts w:ascii="Arial" w:eastAsia="Times New Roman" w:hAnsi="Arial" w:cs="Arial"/>
            <w:sz w:val="24"/>
            <w:szCs w:val="24"/>
            <w:lang w:eastAsia="de-DE"/>
          </w:rPr>
          <w:t xml:space="preserve">Basilius von </w:t>
        </w:r>
        <w:proofErr w:type="spellStart"/>
        <w:r w:rsidRPr="00BC1007">
          <w:rPr>
            <w:rFonts w:ascii="Arial" w:eastAsia="Times New Roman" w:hAnsi="Arial" w:cs="Arial"/>
            <w:sz w:val="24"/>
            <w:szCs w:val="24"/>
            <w:lang w:eastAsia="de-DE"/>
          </w:rPr>
          <w:t>Caesarea</w:t>
        </w:r>
        <w:proofErr w:type="spellEnd"/>
      </w:hyperlink>
      <w:r w:rsidRPr="00BC1007">
        <w:rPr>
          <w:rFonts w:ascii="Arial" w:eastAsia="Times New Roman" w:hAnsi="Arial" w:cs="Arial"/>
          <w:sz w:val="24"/>
          <w:szCs w:val="24"/>
          <w:lang w:eastAsia="de-DE"/>
        </w:rPr>
        <w:t xml:space="preserve">, </w:t>
      </w:r>
      <w:hyperlink r:id="rId30" w:tooltip="Athanasius der Große" w:history="1">
        <w:r w:rsidRPr="00BC1007">
          <w:rPr>
            <w:rFonts w:ascii="Arial" w:eastAsia="Times New Roman" w:hAnsi="Arial" w:cs="Arial"/>
            <w:sz w:val="24"/>
            <w:szCs w:val="24"/>
            <w:lang w:eastAsia="de-DE"/>
          </w:rPr>
          <w:t>Athanasius der Große</w:t>
        </w:r>
      </w:hyperlink>
      <w:r w:rsidRPr="00BC1007">
        <w:rPr>
          <w:rFonts w:ascii="Arial" w:eastAsia="Times New Roman" w:hAnsi="Arial" w:cs="Arial"/>
          <w:sz w:val="24"/>
          <w:szCs w:val="24"/>
          <w:lang w:eastAsia="de-DE"/>
        </w:rPr>
        <w:t xml:space="preserve"> oder </w:t>
      </w:r>
      <w:hyperlink r:id="rId31" w:tooltip="Albertus Magnus" w:history="1">
        <w:r w:rsidRPr="00BC1007">
          <w:rPr>
            <w:rFonts w:ascii="Arial" w:eastAsia="Times New Roman" w:hAnsi="Arial" w:cs="Arial"/>
            <w:sz w:val="24"/>
            <w:szCs w:val="24"/>
            <w:lang w:eastAsia="de-DE"/>
          </w:rPr>
          <w:t>Albertus Magnus</w:t>
        </w:r>
      </w:hyperlink>
      <w:r w:rsidRPr="00BC1007">
        <w:rPr>
          <w:rFonts w:ascii="Arial" w:eastAsia="Times New Roman" w:hAnsi="Arial" w:cs="Arial"/>
          <w:sz w:val="24"/>
          <w:szCs w:val="24"/>
          <w:lang w:eastAsia="de-DE"/>
        </w:rPr>
        <w:t>.</w:t>
      </w:r>
      <w:hyperlink r:id="rId32" w:anchor="cite_note-7" w:history="1">
        <w:r w:rsidRPr="00BC1007">
          <w:rPr>
            <w:rFonts w:ascii="Arial" w:eastAsia="Times New Roman" w:hAnsi="Arial" w:cs="Arial"/>
            <w:sz w:val="24"/>
            <w:szCs w:val="24"/>
            <w:vertAlign w:val="superscript"/>
            <w:lang w:eastAsia="de-DE"/>
          </w:rPr>
          <w:t>[7]</w:t>
        </w:r>
      </w:hyperlink>
      <w:r w:rsidRPr="00BC1007">
        <w:rPr>
          <w:rFonts w:ascii="Arial" w:eastAsia="Times New Roman" w:hAnsi="Arial" w:cs="Arial"/>
          <w:sz w:val="24"/>
          <w:szCs w:val="24"/>
          <w:lang w:eastAsia="de-DE"/>
        </w:rPr>
        <w:t xml:space="preserve"> Mit dem </w:t>
      </w:r>
      <w:hyperlink r:id="rId33" w:tooltip="Zweites Vatikanisches Konzil" w:history="1">
        <w:r w:rsidRPr="00BC1007">
          <w:rPr>
            <w:rFonts w:ascii="Arial" w:eastAsia="Times New Roman" w:hAnsi="Arial" w:cs="Arial"/>
            <w:sz w:val="24"/>
            <w:szCs w:val="24"/>
            <w:lang w:eastAsia="de-DE"/>
          </w:rPr>
          <w:t>Zweiten Vatikanischen Konzil</w:t>
        </w:r>
      </w:hyperlink>
      <w:r w:rsidRPr="00BC1007">
        <w:rPr>
          <w:rFonts w:ascii="Arial" w:eastAsia="Times New Roman" w:hAnsi="Arial" w:cs="Arial"/>
          <w:sz w:val="24"/>
          <w:szCs w:val="24"/>
          <w:lang w:eastAsia="de-DE"/>
        </w:rPr>
        <w:t xml:space="preserve"> (1962-1965) wurde die Beschränkung der Zuordnung auf </w:t>
      </w:r>
      <w:hyperlink r:id="rId34" w:tooltip="Klerus" w:history="1">
        <w:r w:rsidRPr="00BC1007">
          <w:rPr>
            <w:rFonts w:ascii="Arial" w:eastAsia="Times New Roman" w:hAnsi="Arial" w:cs="Arial"/>
            <w:sz w:val="24"/>
            <w:szCs w:val="24"/>
            <w:lang w:eastAsia="de-DE"/>
          </w:rPr>
          <w:t>Kleriker</w:t>
        </w:r>
      </w:hyperlink>
      <w:r w:rsidRPr="00BC1007">
        <w:rPr>
          <w:rFonts w:ascii="Arial" w:eastAsia="Times New Roman" w:hAnsi="Arial" w:cs="Arial"/>
          <w:sz w:val="24"/>
          <w:szCs w:val="24"/>
          <w:lang w:eastAsia="de-DE"/>
        </w:rPr>
        <w:t xml:space="preserve"> aufgehoben und auch </w:t>
      </w:r>
      <w:hyperlink r:id="rId35" w:tooltip="Laie (Religion)" w:history="1">
        <w:r w:rsidRPr="00BC1007">
          <w:rPr>
            <w:rFonts w:ascii="Arial" w:eastAsia="Times New Roman" w:hAnsi="Arial" w:cs="Arial"/>
            <w:sz w:val="24"/>
            <w:szCs w:val="24"/>
            <w:lang w:eastAsia="de-DE"/>
          </w:rPr>
          <w:t>Laien</w:t>
        </w:r>
      </w:hyperlink>
      <w:r w:rsidRPr="00BC1007">
        <w:rPr>
          <w:rFonts w:ascii="Arial" w:eastAsia="Times New Roman" w:hAnsi="Arial" w:cs="Arial"/>
          <w:sz w:val="24"/>
          <w:szCs w:val="24"/>
          <w:lang w:eastAsia="de-DE"/>
        </w:rPr>
        <w:t xml:space="preserve"> und Frauen (wie etwa </w:t>
      </w:r>
      <w:hyperlink r:id="rId36" w:tooltip="Katharina von Siena" w:history="1">
        <w:r w:rsidRPr="00BC1007">
          <w:rPr>
            <w:rFonts w:ascii="Arial" w:eastAsia="Times New Roman" w:hAnsi="Arial" w:cs="Arial"/>
            <w:sz w:val="24"/>
            <w:szCs w:val="24"/>
            <w:lang w:eastAsia="de-DE"/>
          </w:rPr>
          <w:t>Katharina von Siena</w:t>
        </w:r>
      </w:hyperlink>
      <w:r w:rsidRPr="00BC1007">
        <w:rPr>
          <w:rFonts w:ascii="Arial" w:eastAsia="Times New Roman" w:hAnsi="Arial" w:cs="Arial"/>
          <w:sz w:val="24"/>
          <w:szCs w:val="24"/>
          <w:lang w:eastAsia="de-DE"/>
        </w:rPr>
        <w:t xml:space="preserve"> oder </w:t>
      </w:r>
      <w:hyperlink r:id="rId37" w:tooltip="Thérèse von Lisieux" w:history="1">
        <w:r w:rsidRPr="00BC1007">
          <w:rPr>
            <w:rFonts w:ascii="Arial" w:eastAsia="Times New Roman" w:hAnsi="Arial" w:cs="Arial"/>
            <w:sz w:val="24"/>
            <w:szCs w:val="24"/>
            <w:lang w:eastAsia="de-DE"/>
          </w:rPr>
          <w:t xml:space="preserve">Thérèse von </w:t>
        </w:r>
        <w:proofErr w:type="spellStart"/>
        <w:r w:rsidRPr="00BC1007">
          <w:rPr>
            <w:rFonts w:ascii="Arial" w:eastAsia="Times New Roman" w:hAnsi="Arial" w:cs="Arial"/>
            <w:sz w:val="24"/>
            <w:szCs w:val="24"/>
            <w:lang w:eastAsia="de-DE"/>
          </w:rPr>
          <w:t>Lisieux</w:t>
        </w:r>
        <w:proofErr w:type="spellEnd"/>
      </w:hyperlink>
      <w:r w:rsidRPr="00BC1007">
        <w:rPr>
          <w:rFonts w:ascii="Arial" w:eastAsia="Times New Roman" w:hAnsi="Arial" w:cs="Arial"/>
          <w:sz w:val="24"/>
          <w:szCs w:val="24"/>
          <w:lang w:eastAsia="de-DE"/>
        </w:rPr>
        <w:t xml:space="preserve">) die Ehre dieser Bezeichnung zuerkannt. Am 7. Oktober 2012 nahm </w:t>
      </w:r>
      <w:hyperlink r:id="rId38" w:tooltip="Papst" w:history="1">
        <w:r w:rsidRPr="00BC1007">
          <w:rPr>
            <w:rFonts w:ascii="Arial" w:eastAsia="Times New Roman" w:hAnsi="Arial" w:cs="Arial"/>
            <w:sz w:val="24"/>
            <w:szCs w:val="24"/>
            <w:lang w:eastAsia="de-DE"/>
          </w:rPr>
          <w:t>Papst</w:t>
        </w:r>
      </w:hyperlink>
      <w:r w:rsidRPr="00BC1007">
        <w:rPr>
          <w:rFonts w:ascii="Arial" w:eastAsia="Times New Roman" w:hAnsi="Arial" w:cs="Arial"/>
          <w:sz w:val="24"/>
          <w:szCs w:val="24"/>
          <w:lang w:eastAsia="de-DE"/>
        </w:rPr>
        <w:t xml:space="preserve"> </w:t>
      </w:r>
      <w:hyperlink r:id="rId39" w:tooltip="Benedikt XVI." w:history="1">
        <w:r w:rsidRPr="00BC1007">
          <w:rPr>
            <w:rFonts w:ascii="Arial" w:eastAsia="Times New Roman" w:hAnsi="Arial" w:cs="Arial"/>
            <w:sz w:val="24"/>
            <w:szCs w:val="24"/>
            <w:lang w:eastAsia="de-DE"/>
          </w:rPr>
          <w:t>Benedikt XVI.</w:t>
        </w:r>
      </w:hyperlink>
      <w:r w:rsidRPr="00BC1007">
        <w:rPr>
          <w:rFonts w:ascii="Arial" w:eastAsia="Times New Roman" w:hAnsi="Arial" w:cs="Arial"/>
          <w:sz w:val="24"/>
          <w:szCs w:val="24"/>
          <w:lang w:eastAsia="de-DE"/>
        </w:rPr>
        <w:t xml:space="preserve"> auch </w:t>
      </w:r>
      <w:hyperlink r:id="rId40" w:tooltip="Hildegard von Bingen" w:history="1">
        <w:r w:rsidRPr="00BC1007">
          <w:rPr>
            <w:rFonts w:ascii="Arial" w:eastAsia="Times New Roman" w:hAnsi="Arial" w:cs="Arial"/>
            <w:sz w:val="24"/>
            <w:szCs w:val="24"/>
            <w:lang w:eastAsia="de-DE"/>
          </w:rPr>
          <w:t>Hildegard von Bingen</w:t>
        </w:r>
      </w:hyperlink>
      <w:r w:rsidRPr="00BC1007">
        <w:rPr>
          <w:rFonts w:ascii="Arial" w:eastAsia="Times New Roman" w:hAnsi="Arial" w:cs="Arial"/>
          <w:sz w:val="24"/>
          <w:szCs w:val="24"/>
          <w:lang w:eastAsia="de-DE"/>
        </w:rPr>
        <w:t xml:space="preserve"> als weitere Frau offiziell in den Kreis der Kirchenlehrer auf.</w:t>
      </w:r>
      <w:hyperlink r:id="rId41" w:anchor="cite_note-8" w:history="1">
        <w:r w:rsidRPr="00BC1007">
          <w:rPr>
            <w:rFonts w:ascii="Arial" w:eastAsia="Times New Roman" w:hAnsi="Arial" w:cs="Arial"/>
            <w:sz w:val="24"/>
            <w:szCs w:val="24"/>
            <w:vertAlign w:val="superscript"/>
            <w:lang w:eastAsia="de-DE"/>
          </w:rPr>
          <w:t>[8]</w:t>
        </w:r>
      </w:hyperlink>
      <w:r w:rsidRPr="00BC1007">
        <w:rPr>
          <w:rFonts w:ascii="Arial" w:eastAsia="Times New Roman" w:hAnsi="Arial" w:cs="Arial"/>
          <w:sz w:val="24"/>
          <w:szCs w:val="24"/>
          <w:lang w:eastAsia="de-DE"/>
        </w:rPr>
        <w:t xml:space="preserve"> Damit stieg die Zahl der heute anerkannten Kirchenlehrer auf 35.</w:t>
      </w:r>
    </w:p>
    <w:p w:rsidR="001001F8" w:rsidRPr="00BC1007" w:rsidRDefault="001001F8">
      <w:pPr>
        <w:rPr>
          <w:rFonts w:ascii="Arial" w:hAnsi="Arial" w:cs="Arial"/>
          <w:sz w:val="24"/>
          <w:szCs w:val="24"/>
        </w:rPr>
      </w:pPr>
    </w:p>
    <w:sectPr w:rsidR="001001F8" w:rsidRPr="00BC10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07"/>
    <w:rsid w:val="001001F8"/>
    <w:rsid w:val="00BC10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E0D3B-CC65-43B7-8011-D8A6E6FA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BC100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BC1007"/>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C1007"/>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BC1007"/>
    <w:rPr>
      <w:rFonts w:ascii="Times New Roman" w:eastAsia="Times New Roman" w:hAnsi="Times New Roman" w:cs="Times New Roman"/>
      <w:b/>
      <w:bCs/>
      <w:sz w:val="24"/>
      <w:szCs w:val="24"/>
      <w:lang w:eastAsia="de-DE"/>
    </w:rPr>
  </w:style>
  <w:style w:type="character" w:customStyle="1" w:styleId="mw-headline">
    <w:name w:val="mw-headline"/>
    <w:basedOn w:val="Absatz-Standardschriftart"/>
    <w:rsid w:val="00BC1007"/>
  </w:style>
  <w:style w:type="paragraph" w:styleId="StandardWeb">
    <w:name w:val="Normal (Web)"/>
    <w:basedOn w:val="Standard"/>
    <w:uiPriority w:val="99"/>
    <w:semiHidden/>
    <w:unhideWhenUsed/>
    <w:rsid w:val="00BC100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C1007"/>
    <w:rPr>
      <w:color w:val="0000FF"/>
      <w:u w:val="single"/>
    </w:rPr>
  </w:style>
  <w:style w:type="character" w:customStyle="1" w:styleId="hauptartikel-pfeil">
    <w:name w:val="hauptartikel-pfeil"/>
    <w:basedOn w:val="Absatz-Standardschriftart"/>
    <w:rsid w:val="00BC1007"/>
  </w:style>
  <w:style w:type="character" w:customStyle="1" w:styleId="hauptartikel-text">
    <w:name w:val="hauptartikel-text"/>
    <w:basedOn w:val="Absatz-Standardschriftart"/>
    <w:rsid w:val="00BC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625734">
      <w:bodyDiv w:val="1"/>
      <w:marLeft w:val="0"/>
      <w:marRight w:val="0"/>
      <w:marTop w:val="0"/>
      <w:marBottom w:val="0"/>
      <w:divBdr>
        <w:top w:val="none" w:sz="0" w:space="0" w:color="auto"/>
        <w:left w:val="none" w:sz="0" w:space="0" w:color="auto"/>
        <w:bottom w:val="none" w:sz="0" w:space="0" w:color="auto"/>
        <w:right w:val="none" w:sz="0" w:space="0" w:color="auto"/>
      </w:divBdr>
      <w:divsChild>
        <w:div w:id="1115755693">
          <w:marLeft w:val="0"/>
          <w:marRight w:val="0"/>
          <w:marTop w:val="0"/>
          <w:marBottom w:val="0"/>
          <w:divBdr>
            <w:top w:val="none" w:sz="0" w:space="0" w:color="auto"/>
            <w:left w:val="none" w:sz="0" w:space="0" w:color="auto"/>
            <w:bottom w:val="none" w:sz="0" w:space="0" w:color="auto"/>
            <w:right w:val="none" w:sz="0" w:space="0" w:color="auto"/>
          </w:divBdr>
          <w:divsChild>
            <w:div w:id="1775586308">
              <w:marLeft w:val="0"/>
              <w:marRight w:val="0"/>
              <w:marTop w:val="0"/>
              <w:marBottom w:val="0"/>
              <w:divBdr>
                <w:top w:val="none" w:sz="0" w:space="0" w:color="auto"/>
                <w:left w:val="none" w:sz="0" w:space="0" w:color="auto"/>
                <w:bottom w:val="none" w:sz="0" w:space="0" w:color="auto"/>
                <w:right w:val="none" w:sz="0" w:space="0" w:color="auto"/>
              </w:divBdr>
              <w:divsChild>
                <w:div w:id="17732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Philosoph" TargetMode="External"/><Relationship Id="rId13" Type="http://schemas.openxmlformats.org/officeDocument/2006/relationships/hyperlink" Target="http://de.wikipedia.org/wiki/Salomo" TargetMode="External"/><Relationship Id="rId18" Type="http://schemas.openxmlformats.org/officeDocument/2006/relationships/hyperlink" Target="http://de.wikipedia.org/wiki/Philosoph" TargetMode="External"/><Relationship Id="rId26" Type="http://schemas.openxmlformats.org/officeDocument/2006/relationships/hyperlink" Target="http://de.wikipedia.org/wiki/Thomas_von_Aquin" TargetMode="External"/><Relationship Id="rId39" Type="http://schemas.openxmlformats.org/officeDocument/2006/relationships/hyperlink" Target="http://de.wikipedia.org/wiki/Benedikt_XVI." TargetMode="External"/><Relationship Id="rId3" Type="http://schemas.openxmlformats.org/officeDocument/2006/relationships/webSettings" Target="webSettings.xml"/><Relationship Id="rId21" Type="http://schemas.openxmlformats.org/officeDocument/2006/relationships/hyperlink" Target="http://de.wikipedia.org/wiki/Laotse" TargetMode="External"/><Relationship Id="rId34" Type="http://schemas.openxmlformats.org/officeDocument/2006/relationships/hyperlink" Target="http://de.wikipedia.org/wiki/Klerus" TargetMode="External"/><Relationship Id="rId42" Type="http://schemas.openxmlformats.org/officeDocument/2006/relationships/fontTable" Target="fontTable.xml"/><Relationship Id="rId7" Type="http://schemas.openxmlformats.org/officeDocument/2006/relationships/hyperlink" Target="http://de.wikipedia.org/wiki/Weisheit" TargetMode="External"/><Relationship Id="rId12" Type="http://schemas.openxmlformats.org/officeDocument/2006/relationships/hyperlink" Target="http://de.wikipedia.org/wiki/Weisheit" TargetMode="External"/><Relationship Id="rId17" Type="http://schemas.openxmlformats.org/officeDocument/2006/relationships/hyperlink" Target="http://de.wikipedia.org/wiki/Platon" TargetMode="External"/><Relationship Id="rId25" Type="http://schemas.openxmlformats.org/officeDocument/2006/relationships/hyperlink" Target="http://de.wikipedia.org/wiki/Kirchenv%C3%A4ter" TargetMode="External"/><Relationship Id="rId33" Type="http://schemas.openxmlformats.org/officeDocument/2006/relationships/hyperlink" Target="http://de.wikipedia.org/wiki/Zweites_Vatikanisches_Konzil" TargetMode="External"/><Relationship Id="rId38" Type="http://schemas.openxmlformats.org/officeDocument/2006/relationships/hyperlink" Target="http://de.wikipedia.org/wiki/Papst" TargetMode="External"/><Relationship Id="rId2" Type="http://schemas.openxmlformats.org/officeDocument/2006/relationships/settings" Target="settings.xml"/><Relationship Id="rId16" Type="http://schemas.openxmlformats.org/officeDocument/2006/relationships/hyperlink" Target="http://de.wikipedia.org/wiki/Sokrates" TargetMode="External"/><Relationship Id="rId20" Type="http://schemas.openxmlformats.org/officeDocument/2006/relationships/hyperlink" Target="http://de.wikipedia.org/wiki/Konfuzius" TargetMode="External"/><Relationship Id="rId29" Type="http://schemas.openxmlformats.org/officeDocument/2006/relationships/hyperlink" Target="http://de.wikipedia.org/wiki/Basilius_von_Caesarea" TargetMode="External"/><Relationship Id="rId41" Type="http://schemas.openxmlformats.org/officeDocument/2006/relationships/hyperlink" Target="http://de.wikipedia.org/wiki/Lehrer" TargetMode="External"/><Relationship Id="rId1" Type="http://schemas.openxmlformats.org/officeDocument/2006/relationships/styles" Target="styles.xml"/><Relationship Id="rId6" Type="http://schemas.openxmlformats.org/officeDocument/2006/relationships/hyperlink" Target="http://de.wikipedia.org/wiki/Wissenschaftliche_Hochschule" TargetMode="External"/><Relationship Id="rId11" Type="http://schemas.openxmlformats.org/officeDocument/2006/relationships/hyperlink" Target="http://de.wikipedia.org/wiki/Orbis_sensualium_pictus" TargetMode="External"/><Relationship Id="rId24" Type="http://schemas.openxmlformats.org/officeDocument/2006/relationships/hyperlink" Target="http://de.wikipedia.org/wiki/Lehrer" TargetMode="External"/><Relationship Id="rId32" Type="http://schemas.openxmlformats.org/officeDocument/2006/relationships/hyperlink" Target="http://de.wikipedia.org/wiki/Lehrer" TargetMode="External"/><Relationship Id="rId37" Type="http://schemas.openxmlformats.org/officeDocument/2006/relationships/hyperlink" Target="http://de.wikipedia.org/wiki/Th%C3%A9r%C3%A8se_von_Lisieux" TargetMode="External"/><Relationship Id="rId40" Type="http://schemas.openxmlformats.org/officeDocument/2006/relationships/hyperlink" Target="http://de.wikipedia.org/wiki/Hildegard_von_Bingen" TargetMode="External"/><Relationship Id="rId5" Type="http://schemas.openxmlformats.org/officeDocument/2006/relationships/hyperlink" Target="http://de.wikipedia.org/wiki/Berufung_%28Amt%29" TargetMode="External"/><Relationship Id="rId15" Type="http://schemas.openxmlformats.org/officeDocument/2006/relationships/hyperlink" Target="http://de.wikipedia.org/wiki/Lehrer" TargetMode="External"/><Relationship Id="rId23" Type="http://schemas.openxmlformats.org/officeDocument/2006/relationships/hyperlink" Target="http://de.wikipedia.org/wiki/Kirchenlehrer" TargetMode="External"/><Relationship Id="rId28" Type="http://schemas.openxmlformats.org/officeDocument/2006/relationships/hyperlink" Target="http://de.wikipedia.org/wiki/Ambrosius_von_Mailand" TargetMode="External"/><Relationship Id="rId36" Type="http://schemas.openxmlformats.org/officeDocument/2006/relationships/hyperlink" Target="http://de.wikipedia.org/wiki/Katharina_von_Siena" TargetMode="External"/><Relationship Id="rId10" Type="http://schemas.openxmlformats.org/officeDocument/2006/relationships/hyperlink" Target="http://de.wikipedia.org/wiki/Kirchenv%C3%A4ter" TargetMode="External"/><Relationship Id="rId19" Type="http://schemas.openxmlformats.org/officeDocument/2006/relationships/hyperlink" Target="http://de.wikipedia.org/wiki/Zarathustra" TargetMode="External"/><Relationship Id="rId31" Type="http://schemas.openxmlformats.org/officeDocument/2006/relationships/hyperlink" Target="http://de.wikipedia.org/wiki/Albertus_Magnus" TargetMode="External"/><Relationship Id="rId4" Type="http://schemas.openxmlformats.org/officeDocument/2006/relationships/hyperlink" Target="http://de.wikipedia.org/wiki/Venia_Legendi" TargetMode="External"/><Relationship Id="rId9" Type="http://schemas.openxmlformats.org/officeDocument/2006/relationships/hyperlink" Target="http://de.wikipedia.org/wiki/Kirchenlehrer" TargetMode="External"/><Relationship Id="rId14" Type="http://schemas.openxmlformats.org/officeDocument/2006/relationships/hyperlink" Target="http://de.wikipedia.org/wiki/Imhotep" TargetMode="External"/><Relationship Id="rId22" Type="http://schemas.openxmlformats.org/officeDocument/2006/relationships/hyperlink" Target="http://de.wikipedia.org/wiki/Lehrer" TargetMode="External"/><Relationship Id="rId27" Type="http://schemas.openxmlformats.org/officeDocument/2006/relationships/hyperlink" Target="http://de.wikipedia.org/wiki/Augustinus_von_Hippo" TargetMode="External"/><Relationship Id="rId30" Type="http://schemas.openxmlformats.org/officeDocument/2006/relationships/hyperlink" Target="http://de.wikipedia.org/wiki/Athanasius_der_Gro%C3%9Fe" TargetMode="External"/><Relationship Id="rId35" Type="http://schemas.openxmlformats.org/officeDocument/2006/relationships/hyperlink" Target="http://de.wikipedia.org/wiki/Laie_%28Religion%2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Schwahn</dc:creator>
  <cp:keywords/>
  <dc:description/>
  <cp:lastModifiedBy>Susanne Schwahn</cp:lastModifiedBy>
  <cp:revision>1</cp:revision>
  <dcterms:created xsi:type="dcterms:W3CDTF">2015-01-12T11:50:00Z</dcterms:created>
  <dcterms:modified xsi:type="dcterms:W3CDTF">2015-01-12T11:51:00Z</dcterms:modified>
</cp:coreProperties>
</file>